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D7" w:rsidRPr="00D82A8C" w:rsidRDefault="005770D7" w:rsidP="005770D7">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27</w:t>
      </w:r>
      <w:r w:rsidRPr="00D82A8C">
        <w:rPr>
          <w:rFonts w:ascii="Times New Roman" w:hAnsi="Times New Roman" w:cs="Times New Roman"/>
          <w:i/>
          <w:sz w:val="20"/>
          <w:szCs w:val="20"/>
        </w:rPr>
        <w:t xml:space="preserve"> luglio</w:t>
      </w:r>
    </w:p>
    <w:p w:rsidR="005770D7" w:rsidRPr="00D82A8C" w:rsidRDefault="005770D7" w:rsidP="005770D7">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SAN PANTALEONE, MARTIRE</w:t>
      </w:r>
    </w:p>
    <w:p w:rsidR="005770D7" w:rsidRPr="00D82A8C" w:rsidRDefault="005770D7" w:rsidP="005770D7">
      <w:pPr>
        <w:spacing w:after="0" w:line="240" w:lineRule="auto"/>
        <w:jc w:val="center"/>
        <w:rPr>
          <w:rFonts w:ascii="Times New Roman" w:hAnsi="Times New Roman" w:cs="Times New Roman"/>
          <w:b/>
          <w:sz w:val="20"/>
          <w:szCs w:val="20"/>
        </w:rPr>
      </w:pPr>
    </w:p>
    <w:p w:rsidR="005770D7" w:rsidRPr="00D82A8C" w:rsidRDefault="005770D7" w:rsidP="005770D7">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r>
        <w:rPr>
          <w:rFonts w:ascii="Times New Roman" w:hAnsi="Times New Roman" w:cs="Times New Roman"/>
          <w:color w:val="FF0000"/>
          <w:sz w:val="20"/>
          <w:szCs w:val="20"/>
        </w:rPr>
        <w:t xml:space="preserve"> facoltativa</w:t>
      </w:r>
    </w:p>
    <w:p w:rsidR="005770D7" w:rsidRPr="00D82A8C" w:rsidRDefault="005770D7" w:rsidP="005770D7">
      <w:pPr>
        <w:spacing w:after="0" w:line="240" w:lineRule="auto"/>
        <w:jc w:val="center"/>
        <w:rPr>
          <w:rFonts w:ascii="Times New Roman" w:hAnsi="Times New Roman" w:cs="Times New Roman"/>
          <w:color w:val="FF0000"/>
          <w:sz w:val="20"/>
          <w:szCs w:val="20"/>
        </w:rPr>
      </w:pPr>
    </w:p>
    <w:p w:rsidR="005770D7" w:rsidRPr="00D82A8C" w:rsidRDefault="005770D7" w:rsidP="005770D7">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 xml:space="preserve">Comune </w:t>
      </w:r>
      <w:r>
        <w:rPr>
          <w:rFonts w:ascii="Times New Roman" w:hAnsi="Times New Roman" w:cs="Times New Roman"/>
          <w:color w:val="FF0000"/>
          <w:sz w:val="20"/>
          <w:szCs w:val="20"/>
        </w:rPr>
        <w:t>di un martire o dei santi (per un santo operatore di misericordia)</w:t>
      </w:r>
    </w:p>
    <w:p w:rsidR="005770D7" w:rsidRPr="00D82A8C" w:rsidRDefault="005770D7" w:rsidP="005770D7">
      <w:pPr>
        <w:spacing w:after="0" w:line="240" w:lineRule="auto"/>
        <w:rPr>
          <w:rFonts w:ascii="Times New Roman" w:hAnsi="Times New Roman" w:cs="Times New Roman"/>
          <w:color w:val="FF0000"/>
          <w:sz w:val="20"/>
          <w:szCs w:val="20"/>
        </w:rPr>
      </w:pPr>
    </w:p>
    <w:p w:rsidR="005770D7" w:rsidRPr="00D82A8C" w:rsidRDefault="005770D7" w:rsidP="005770D7">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5770D7" w:rsidRDefault="005770D7" w:rsidP="005770D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La Chiesa di Crema venera come patrono il martire san </w:t>
      </w:r>
      <w:proofErr w:type="spellStart"/>
      <w:r>
        <w:rPr>
          <w:rFonts w:ascii="Times New Roman" w:hAnsi="Times New Roman" w:cs="Times New Roman"/>
          <w:sz w:val="20"/>
          <w:szCs w:val="20"/>
        </w:rPr>
        <w:t>Pantaleone</w:t>
      </w:r>
      <w:proofErr w:type="spellEnd"/>
      <w:r>
        <w:rPr>
          <w:rFonts w:ascii="Times New Roman" w:hAnsi="Times New Roman" w:cs="Times New Roman"/>
          <w:sz w:val="20"/>
          <w:szCs w:val="20"/>
        </w:rPr>
        <w:t xml:space="preserve">. La fama del martire di </w:t>
      </w:r>
      <w:proofErr w:type="spellStart"/>
      <w:r>
        <w:rPr>
          <w:rFonts w:ascii="Times New Roman" w:hAnsi="Times New Roman" w:cs="Times New Roman"/>
          <w:sz w:val="20"/>
          <w:szCs w:val="20"/>
        </w:rPr>
        <w:t>Nicomedia</w:t>
      </w:r>
      <w:proofErr w:type="spellEnd"/>
      <w:r>
        <w:rPr>
          <w:rFonts w:ascii="Times New Roman" w:hAnsi="Times New Roman" w:cs="Times New Roman"/>
          <w:sz w:val="20"/>
          <w:szCs w:val="20"/>
        </w:rPr>
        <w:t xml:space="preserve"> in </w:t>
      </w:r>
      <w:proofErr w:type="spellStart"/>
      <w:r>
        <w:rPr>
          <w:rFonts w:ascii="Times New Roman" w:hAnsi="Times New Roman" w:cs="Times New Roman"/>
          <w:sz w:val="20"/>
          <w:szCs w:val="20"/>
        </w:rPr>
        <w:t>Bitinia</w:t>
      </w:r>
      <w:proofErr w:type="spellEnd"/>
      <w:r>
        <w:rPr>
          <w:rFonts w:ascii="Times New Roman" w:hAnsi="Times New Roman" w:cs="Times New Roman"/>
          <w:sz w:val="20"/>
          <w:szCs w:val="20"/>
        </w:rPr>
        <w:t xml:space="preserve"> si diffuse largamente in tutto il mondo cristiano e a san </w:t>
      </w:r>
      <w:proofErr w:type="spellStart"/>
      <w:r>
        <w:rPr>
          <w:rFonts w:ascii="Times New Roman" w:hAnsi="Times New Roman" w:cs="Times New Roman"/>
          <w:sz w:val="20"/>
          <w:szCs w:val="20"/>
        </w:rPr>
        <w:t>Pantaleone</w:t>
      </w:r>
      <w:proofErr w:type="spellEnd"/>
      <w:r>
        <w:rPr>
          <w:rFonts w:ascii="Times New Roman" w:hAnsi="Times New Roman" w:cs="Times New Roman"/>
          <w:sz w:val="20"/>
          <w:szCs w:val="20"/>
        </w:rPr>
        <w:t xml:space="preserve"> furono dedicati santuari già noti al tempo dell’imperatore Giustiniano. Le numerose recensioni della sua passione, le molteplici omelie pronunciate in suo onore, le notizie della traslazione delle sue reliquie anche in Occidente, la fama dei suoi miracoli sono testimonianze della vastità e della celebrità del suo culto.</w:t>
      </w:r>
    </w:p>
    <w:p w:rsidR="005770D7" w:rsidRDefault="005770D7" w:rsidP="005770D7">
      <w:pPr>
        <w:spacing w:after="0" w:line="240" w:lineRule="auto"/>
        <w:rPr>
          <w:rFonts w:ascii="Times New Roman" w:hAnsi="Times New Roman" w:cs="Times New Roman"/>
          <w:sz w:val="20"/>
          <w:szCs w:val="20"/>
        </w:rPr>
      </w:pPr>
      <w:r>
        <w:rPr>
          <w:rFonts w:ascii="Times New Roman" w:hAnsi="Times New Roman" w:cs="Times New Roman"/>
          <w:sz w:val="20"/>
          <w:szCs w:val="20"/>
        </w:rPr>
        <w:t>La tradizione lo onora come medico, che curava i malati senza badare al compenso materiale, volendo essere semplicemente “colui che ha pietà di tutti”, come significa il suo nome.</w:t>
      </w:r>
    </w:p>
    <w:p w:rsidR="005770D7" w:rsidRPr="00D82A8C" w:rsidRDefault="005770D7" w:rsidP="005770D7">
      <w:pPr>
        <w:spacing w:after="0" w:line="240" w:lineRule="auto"/>
        <w:rPr>
          <w:rFonts w:ascii="Times New Roman" w:hAnsi="Times New Roman" w:cs="Times New Roman"/>
          <w:sz w:val="20"/>
          <w:szCs w:val="20"/>
        </w:rPr>
      </w:pPr>
      <w:r>
        <w:rPr>
          <w:rFonts w:ascii="Times New Roman" w:hAnsi="Times New Roman" w:cs="Times New Roman"/>
          <w:sz w:val="20"/>
          <w:szCs w:val="20"/>
        </w:rPr>
        <w:t>Preferì accettare la morte piuttosto che tradire il Signore e subì il martirio il 27 luglio, circa l’anno 305.</w:t>
      </w:r>
    </w:p>
    <w:p w:rsidR="00250C35" w:rsidRDefault="00250C35"/>
    <w:sectPr w:rsidR="00250C3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5770D7"/>
    <w:rsid w:val="00250C35"/>
    <w:rsid w:val="005770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2013-01-04T20:05:00Z</dcterms:created>
  <dcterms:modified xsi:type="dcterms:W3CDTF">2013-01-04T20:07:00Z</dcterms:modified>
</cp:coreProperties>
</file>